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Vertex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92532F100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92532F100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17,303,696.00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17,319,044.00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17,319,044.00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Vertex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Northern Avenue, Boston, MA 02210,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92532F100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460"/>
        <w:spacing w:after="0" w:line="253" w:lineRule="auto"/>
        <w:rPr>
          <w:sz w:val="20"/>
          <w:szCs w:val="20"/>
          <w:color w:val="auto"/>
        </w:rPr>
      </w:pPr>
      <w:r>
        <w:rPr>
          <w:rFonts w:ascii="Times New Roman" w:cs="Times New Roman" w:eastAsia="Times New Roman" w:hAnsi="Times New Roman"/>
          <w:sz w:val="21"/>
          <w:szCs w:val="21"/>
          <w:color w:val="auto"/>
        </w:rPr>
        <w:t>17,319,044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17,319,044 shares or 6.8% of the 253,718,831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17,303,696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17,319,044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sectPr>
      <w:pgSz w:w="11900" w:h="16838" w:orient="portrait"/>
      <w:cols w:equalWidth="0" w:num="1">
        <w:col w:w="9600"/>
      </w:cols>
      <w:pgMar w:left="1440" w:top="23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2026-02-12T09:28:48Z</dcterms:created>
  <dcterms:modified xsi:type="dcterms:W3CDTF">2026-02-12T09:28:48Z</dcterms:modified>
</cp:coreProperties>
</file>