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558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55815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Upadhyay Suketu</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VERTEX PHARMACEUTICALS INC /</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top w:val="single" w:sz="8" w:color="0000EE"/>
            </w:tcBorders>
            <w:gridSpan w:val="3"/>
            <w:vMerge w:val="restart"/>
          </w:tcPr>
          <w:p>
            <w:pPr>
              <w:spacing w:after="0" w:line="214" w:lineRule="exact"/>
              <w:rPr>
                <w:rFonts w:ascii="Times New Roman" w:cs="Times New Roman" w:eastAsia="Times New Roman" w:hAnsi="Times New Roman"/>
                <w:sz w:val="21"/>
                <w:szCs w:val="21"/>
                <w:color w:val="0000EE"/>
                <w:w w:val="98"/>
              </w:rPr>
            </w:pPr>
            <w:hyperlink r:id="rId14">
              <w:r>
                <w:rPr>
                  <w:rFonts w:ascii="Times New Roman" w:cs="Times New Roman" w:eastAsia="Times New Roman" w:hAnsi="Times New Roman"/>
                  <w:sz w:val="21"/>
                  <w:szCs w:val="21"/>
                  <w:color w:val="0000EE"/>
                  <w:w w:val="98"/>
                </w:rPr>
                <w:t xml:space="preserve">MA </w:t>
              </w:r>
              <w:r>
                <w:rPr>
                  <w:rFonts w:ascii="Times New Roman" w:cs="Times New Roman" w:eastAsia="Times New Roman" w:hAnsi="Times New Roman"/>
                  <w:sz w:val="21"/>
                  <w:szCs w:val="21"/>
                  <w:color w:val="000000"/>
                  <w:w w:val="98"/>
                </w:rPr>
                <w:t>[</w:t>
              </w:r>
              <w:r>
                <w:rPr>
                  <w:rFonts w:ascii="Times New Roman" w:cs="Times New Roman" w:eastAsia="Times New Roman" w:hAnsi="Times New Roman"/>
                  <w:sz w:val="21"/>
                  <w:szCs w:val="21"/>
                  <w:color w:val="0000EE"/>
                  <w:w w:val="98"/>
                </w:rPr>
                <w:t xml:space="preserve"> </w:t>
              </w:r>
              <w:r>
                <w:rPr>
                  <w:rFonts w:ascii="Times New Roman" w:cs="Times New Roman" w:eastAsia="Times New Roman" w:hAnsi="Times New Roman"/>
                  <w:sz w:val="16"/>
                  <w:szCs w:val="16"/>
                  <w:color w:val="0000FF"/>
                  <w:w w:val="98"/>
                </w:rPr>
                <w:t>VRTX</w:t>
              </w:r>
              <w:r>
                <w:rPr>
                  <w:rFonts w:ascii="Times New Roman" w:cs="Times New Roman" w:eastAsia="Times New Roman" w:hAnsi="Times New Roman"/>
                  <w:sz w:val="21"/>
                  <w:szCs w:val="21"/>
                  <w:color w:val="0000EE"/>
                  <w:w w:val="98"/>
                </w:rPr>
                <w:t xml:space="preserve"> </w:t>
              </w:r>
              <w:r>
                <w:rPr>
                  <w:rFonts w:ascii="Times New Roman" w:cs="Times New Roman" w:eastAsia="Times New Roman" w:hAnsi="Times New Roman"/>
                  <w:sz w:val="21"/>
                  <w:szCs w:val="21"/>
                  <w:color w:val="000000"/>
                  <w:w w:val="98"/>
                </w:rPr>
                <w:t>]</w:t>
              </w:r>
            </w:hyperlink>
          </w:p>
        </w:tc>
        <w:tc>
          <w:tcPr>
            <w:tcW w:w="2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top w:val="single" w:sz="8" w:color="0000EE"/>
            </w:tcBorders>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100" w:type="dxa"/>
            <w:vAlign w:val="bottom"/>
            <w:tcBorders>
              <w:bottom w:val="single" w:sz="8" w:color="9A9A9A"/>
            </w:tcBorders>
          </w:tcPr>
          <w:p>
            <w:pPr>
              <w:spacing w:after="0" w:line="20" w:lineRule="exact"/>
              <w:rPr>
                <w:sz w:val="1"/>
                <w:szCs w:val="1"/>
                <w:color w:val="auto"/>
              </w:rPr>
            </w:pPr>
          </w:p>
        </w:tc>
        <w:tc>
          <w:tcPr>
            <w:tcW w:w="9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VERTEX PHARMACEUTICALS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INCORPORATED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05/01/2026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50 NORTHERN AVENUE</w:t>
            </w: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4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9"/>
                <w:szCs w:val="9"/>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00" w:type="dxa"/>
            <w:vAlign w:val="bottom"/>
            <w:gridSpan w:val="10"/>
            <w:vMerge w:val="continue"/>
          </w:tcPr>
          <w:p>
            <w:pPr>
              <w:spacing w:after="0"/>
              <w:rPr>
                <w:sz w:val="5"/>
                <w:szCs w:val="5"/>
                <w:color w:val="auto"/>
              </w:rPr>
            </w:pPr>
          </w:p>
        </w:tc>
        <w:tc>
          <w:tcPr>
            <w:tcW w:w="260" w:type="dxa"/>
            <w:vAlign w:val="bottom"/>
          </w:tcPr>
          <w:p>
            <w:pPr>
              <w:spacing w:after="0"/>
              <w:rPr>
                <w:sz w:val="5"/>
                <w:szCs w:val="5"/>
                <w:color w:val="auto"/>
              </w:rPr>
            </w:pPr>
          </w:p>
        </w:tc>
        <w:tc>
          <w:tcPr>
            <w:tcW w:w="340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02210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4"/>
          </w:tcPr>
          <w:p>
            <w:pPr>
              <w:spacing w:after="0"/>
              <w:rPr>
                <w:sz w:val="10"/>
                <w:szCs w:val="10"/>
                <w:color w:val="auto"/>
              </w:rPr>
            </w:pPr>
          </w:p>
        </w:tc>
        <w:tc>
          <w:tcPr>
            <w:tcW w:w="188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20"/>
          </w:tcPr>
          <w:p>
            <w:pPr>
              <w:ind w:left="6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700" w:type="dxa"/>
            <w:vAlign w:val="bottom"/>
            <w:gridSpan w:val="5"/>
          </w:tcPr>
          <w:p>
            <w:pPr>
              <w:ind w:left="880"/>
              <w:spacing w:after="0"/>
              <w:rPr>
                <w:sz w:val="20"/>
                <w:szCs w:val="20"/>
                <w:color w:val="auto"/>
              </w:rPr>
            </w:pPr>
            <w:r>
              <w:rPr>
                <w:rFonts w:ascii="Times New Roman" w:cs="Times New Roman" w:eastAsia="Times New Roman" w:hAnsi="Times New Roman"/>
                <w:sz w:val="17"/>
                <w:szCs w:val="17"/>
                <w:color w:val="0000FF"/>
              </w:rPr>
              <w:t>05/01/2026</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22"/>
                <w:szCs w:val="22"/>
                <w:color w:val="auto"/>
              </w:rPr>
            </w:pPr>
          </w:p>
        </w:tc>
        <w:tc>
          <w:tcPr>
            <w:tcW w:w="5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796</w:t>
            </w: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1,558</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gridSpan w:val="5"/>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880" w:type="dxa"/>
            <w:vAlign w:val="bottom"/>
            <w:tcBorders>
              <w:bottom w:val="single" w:sz="8" w:color="2C2C2C"/>
            </w:tcBorders>
            <w:gridSpan w:val="4"/>
          </w:tcPr>
          <w:p>
            <w:pPr>
              <w:spacing w:after="0"/>
              <w:rPr>
                <w:sz w:val="8"/>
                <w:szCs w:val="8"/>
                <w:color w:val="auto"/>
              </w:rPr>
            </w:pPr>
          </w:p>
        </w:tc>
        <w:tc>
          <w:tcPr>
            <w:tcW w:w="64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20"/>
          </w:tcPr>
          <w:p>
            <w:pPr>
              <w:ind w:left="9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424.45</w:t>
            </w:r>
          </w:p>
        </w:tc>
        <w:tc>
          <w:tcPr>
            <w:tcW w:w="160" w:type="dxa"/>
            <w:vAlign w:val="bottom"/>
          </w:tcPr>
          <w:p>
            <w:pPr>
              <w:spacing w:after="0"/>
              <w:rPr>
                <w:sz w:val="12"/>
                <w:szCs w:val="12"/>
                <w:color w:val="auto"/>
              </w:rPr>
            </w:pP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05/01/2026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2,866</w:t>
            </w:r>
          </w:p>
        </w:tc>
        <w:tc>
          <w:tcPr>
            <w:tcW w:w="2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vMerge w:val="restart"/>
          </w:tcPr>
          <w:p>
            <w:pPr>
              <w:jc w:val="right"/>
              <w:ind w:right="38"/>
              <w:spacing w:after="0"/>
              <w:rPr>
                <w:sz w:val="20"/>
                <w:szCs w:val="20"/>
                <w:color w:val="auto"/>
              </w:rPr>
            </w:pPr>
            <w:r>
              <w:rPr>
                <w:rFonts w:ascii="Times New Roman" w:cs="Times New Roman" w:eastAsia="Times New Roman" w:hAnsi="Times New Roman"/>
                <w:sz w:val="13"/>
                <w:szCs w:val="13"/>
                <w:color w:val="0000FF"/>
              </w:rPr>
              <w:t>04/30/2036</w:t>
            </w:r>
          </w:p>
        </w:tc>
        <w:tc>
          <w:tcPr>
            <w:tcW w:w="64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2,866</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2,866</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4"/>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40" w:type="dxa"/>
            <w:vAlign w:val="bottom"/>
            <w:gridSpan w:val="2"/>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3"/>
            <w:vMerge w:val="continue"/>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620" w:type="dxa"/>
            <w:vAlign w:val="bottom"/>
            <w:vMerge w:val="restart"/>
          </w:tcPr>
          <w:p>
            <w:pPr>
              <w:jc w:val="right"/>
              <w:ind w:right="102"/>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5"/>
                <w:szCs w:val="15"/>
                <w:color w:val="auto"/>
              </w:rPr>
            </w:pPr>
          </w:p>
        </w:tc>
        <w:tc>
          <w:tcPr>
            <w:tcW w:w="520" w:type="dxa"/>
            <w:vAlign w:val="bottom"/>
            <w:vMerge w:val="restart"/>
          </w:tcPr>
          <w:p>
            <w:pPr>
              <w:jc w:val="right"/>
              <w:ind w:right="278"/>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7"/>
                <w:szCs w:val="17"/>
                <w:color w:val="0000FF"/>
              </w:rPr>
              <w:t>796</w:t>
            </w:r>
          </w:p>
        </w:tc>
        <w:tc>
          <w:tcPr>
            <w:tcW w:w="40" w:type="dxa"/>
            <w:vAlign w:val="bottom"/>
          </w:tcPr>
          <w:p>
            <w:pPr>
              <w:spacing w:after="0"/>
              <w:rPr>
                <w:sz w:val="15"/>
                <w:szCs w:val="15"/>
                <w:color w:val="auto"/>
              </w:rPr>
            </w:pPr>
          </w:p>
        </w:tc>
        <w:tc>
          <w:tcPr>
            <w:tcW w:w="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restart"/>
          </w:tcPr>
          <w:p>
            <w:pPr>
              <w:jc w:val="right"/>
              <w:ind w:right="116"/>
              <w:spacing w:after="0" w:line="143" w:lineRule="exact"/>
              <w:rPr>
                <w:sz w:val="20"/>
                <w:szCs w:val="20"/>
                <w:color w:val="auto"/>
              </w:rPr>
            </w:pPr>
            <w:r>
              <w:rPr>
                <w:rFonts w:ascii="Times New Roman" w:cs="Times New Roman" w:eastAsia="Times New Roman" w:hAnsi="Times New Roman"/>
                <w:sz w:val="13"/>
                <w:szCs w:val="13"/>
                <w:color w:val="0000FF"/>
              </w:rPr>
              <w:t>05/01/2026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4"/>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jc w:val="right"/>
              <w:ind w:right="141"/>
              <w:spacing w:after="0" w:line="143" w:lineRule="exact"/>
              <w:rPr>
                <w:sz w:val="20"/>
                <w:szCs w:val="20"/>
                <w:color w:val="auto"/>
              </w:rPr>
            </w:pPr>
            <w:r>
              <w:rPr>
                <w:rFonts w:ascii="Times New Roman" w:cs="Times New Roman" w:eastAsia="Times New Roman" w:hAnsi="Times New Roman"/>
                <w:sz w:val="13"/>
                <w:szCs w:val="13"/>
                <w:color w:val="0000FF"/>
              </w:rPr>
              <w:t>796</w:t>
            </w:r>
          </w:p>
        </w:tc>
        <w:tc>
          <w:tcPr>
            <w:tcW w:w="2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restart"/>
          </w:tcPr>
          <w:p>
            <w:pPr>
              <w:jc w:val="right"/>
              <w:ind w:right="142"/>
              <w:spacing w:after="0" w:line="143" w:lineRule="exact"/>
              <w:rPr>
                <w:sz w:val="20"/>
                <w:szCs w:val="20"/>
                <w:color w:val="auto"/>
              </w:rPr>
            </w:pPr>
            <w:r>
              <w:rPr>
                <w:rFonts w:ascii="Times New Roman" w:cs="Times New Roman" w:eastAsia="Times New Roman" w:hAnsi="Times New Roman"/>
                <w:sz w:val="13"/>
                <w:szCs w:val="13"/>
                <w:color w:val="0000FF"/>
              </w:rPr>
              <w:t>3,595.156</w:t>
            </w: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4"/>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-2551430</wp:posOffset>
            </wp:positionV>
            <wp:extent cx="29210" cy="255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565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vesting of restricted stock units granted to Mr. Upadhyay on May 1, 2025, Mr. Upadhyay deferred the receipt of 796 shares of common stock and received instead 796 deferred stock units pursuant to our deferred compensation plan. As a result, Mr. Upadhyay is reporting the disposition of 796 shares of common stock in exchange for an equal number of deferred stock units.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represents one share of common stock and is paid out in common stock upon the earliest to occur of (i) termination of Mr. Upadhyay's service on our board of directors, (ii) a change of control of our company and (iii) Mr. Upadhyay's disability or death.</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Christiana Stevenson,</w:t>
            </w:r>
          </w:p>
        </w:tc>
        <w:tc>
          <w:tcPr>
            <w:tcW w:w="360" w:type="dxa"/>
            <w:vAlign w:val="bottom"/>
          </w:tcPr>
          <w:p>
            <w:pPr>
              <w:spacing w:after="0"/>
              <w:rPr>
                <w:sz w:val="17"/>
                <w:szCs w:val="17"/>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05/05/2026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33149" TargetMode="External"/><Relationship Id="rId14" Type="http://schemas.openxmlformats.org/officeDocument/2006/relationships/hyperlink" Target="http://www.sec.gov/cgi-bin/browse-edgar?action=getcompany&amp;CIK=00008753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2026-05-05T16:45:15Z</dcterms:created>
  <dcterms:modified xsi:type="dcterms:W3CDTF">2026-05-05T16:45:15Z</dcterms:modified>
</cp:coreProperties>
</file>