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May 23, 2022</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Vertex Pharmaceuticals Incorporated</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9" w:lineRule="exact"/>
        <w:rPr>
          <w:sz w:val="24"/>
          <w:szCs w:val="24"/>
          <w:color w:val="auto"/>
        </w:rPr>
      </w:pPr>
    </w:p>
    <w:tbl>
      <w:tblPr>
        <w:tblLayout w:type="fixed"/>
        <w:tblInd w:w="440" w:type="dxa"/>
        <w:tblCellMar>
          <w:top w:w="0" w:type="dxa"/>
          <w:left w:w="0" w:type="dxa"/>
          <w:bottom w:w="0" w:type="dxa"/>
          <w:right w:w="0" w:type="dxa"/>
        </w:tblCellMar>
      </w:tblPr>
      <w:tr>
        <w:trPr>
          <w:trHeight w:val="313"/>
        </w:trPr>
        <w:tc>
          <w:tcPr>
            <w:tcW w:w="3080" w:type="dxa"/>
            <w:vAlign w:val="bottom"/>
          </w:tcPr>
          <w:p>
            <w:pPr>
              <w:jc w:val="center"/>
              <w:ind w:right="106"/>
              <w:spacing w:after="0"/>
              <w:rPr>
                <w:sz w:val="20"/>
                <w:szCs w:val="20"/>
                <w:color w:val="auto"/>
              </w:rPr>
            </w:pPr>
            <w:r>
              <w:rPr>
                <w:rFonts w:ascii="Times New Roman" w:cs="Times New Roman" w:eastAsia="Times New Roman" w:hAnsi="Times New Roman"/>
                <w:sz w:val="22"/>
                <w:szCs w:val="22"/>
                <w:b w:val="1"/>
                <w:bCs w:val="1"/>
                <w:color w:val="auto"/>
                <w:w w:val="97"/>
              </w:rPr>
              <w:t>Massachusetts</w:t>
            </w:r>
          </w:p>
        </w:tc>
        <w:tc>
          <w:tcPr>
            <w:tcW w:w="4340" w:type="dxa"/>
            <w:vAlign w:val="bottom"/>
          </w:tcPr>
          <w:p>
            <w:pPr>
              <w:jc w:val="center"/>
              <w:ind w:right="62"/>
              <w:spacing w:after="0"/>
              <w:rPr>
                <w:sz w:val="20"/>
                <w:szCs w:val="20"/>
                <w:color w:val="auto"/>
              </w:rPr>
            </w:pPr>
            <w:r>
              <w:rPr>
                <w:rFonts w:ascii="Times New Roman" w:cs="Times New Roman" w:eastAsia="Times New Roman" w:hAnsi="Times New Roman"/>
                <w:sz w:val="22"/>
                <w:szCs w:val="22"/>
                <w:b w:val="1"/>
                <w:bCs w:val="1"/>
                <w:color w:val="auto"/>
                <w:w w:val="98"/>
              </w:rPr>
              <w:t>000-19319</w:t>
            </w:r>
          </w:p>
        </w:tc>
        <w:tc>
          <w:tcPr>
            <w:tcW w:w="2660" w:type="dxa"/>
            <w:vAlign w:val="bottom"/>
          </w:tcPr>
          <w:p>
            <w:pPr>
              <w:jc w:val="right"/>
              <w:ind w:right="546"/>
              <w:spacing w:after="0"/>
              <w:rPr>
                <w:sz w:val="20"/>
                <w:szCs w:val="20"/>
                <w:color w:val="auto"/>
              </w:rPr>
            </w:pPr>
            <w:r>
              <w:rPr>
                <w:rFonts w:ascii="Times New Roman" w:cs="Times New Roman" w:eastAsia="Times New Roman" w:hAnsi="Times New Roman"/>
                <w:sz w:val="22"/>
                <w:szCs w:val="22"/>
                <w:b w:val="1"/>
                <w:bCs w:val="1"/>
                <w:color w:val="auto"/>
              </w:rPr>
              <w:t>04-3039129</w:t>
            </w:r>
          </w:p>
        </w:tc>
      </w:tr>
      <w:tr>
        <w:trPr>
          <w:trHeight w:val="225"/>
        </w:trPr>
        <w:tc>
          <w:tcPr>
            <w:tcW w:w="3080" w:type="dxa"/>
            <w:vAlign w:val="bottom"/>
          </w:tcPr>
          <w:p>
            <w:pPr>
              <w:jc w:val="center"/>
              <w:ind w:right="106"/>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16"/>
                <w:szCs w:val="16"/>
                <w:i w:val="1"/>
                <w:iCs w:val="1"/>
                <w:color w:val="auto"/>
              </w:rPr>
              <w:t>(Commission File Number)</w:t>
            </w:r>
          </w:p>
        </w:tc>
        <w:tc>
          <w:tcPr>
            <w:tcW w:w="2660" w:type="dxa"/>
            <w:vAlign w:val="bottom"/>
          </w:tcPr>
          <w:p>
            <w:pPr>
              <w:jc w:val="center"/>
              <w:ind w:left="246"/>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396"/>
        </w:trPr>
        <w:tc>
          <w:tcPr>
            <w:tcW w:w="3080" w:type="dxa"/>
            <w:vAlign w:val="bottom"/>
          </w:tcPr>
          <w:p>
            <w:pPr>
              <w:spacing w:after="0"/>
              <w:rPr>
                <w:sz w:val="24"/>
                <w:szCs w:val="24"/>
                <w:color w:val="auto"/>
              </w:rPr>
            </w:pPr>
          </w:p>
        </w:tc>
        <w:tc>
          <w:tcPr>
            <w:tcW w:w="4340" w:type="dxa"/>
            <w:vAlign w:val="bottom"/>
          </w:tcPr>
          <w:p>
            <w:pPr>
              <w:jc w:val="center"/>
              <w:ind w:right="22"/>
              <w:spacing w:after="0"/>
              <w:rPr>
                <w:sz w:val="20"/>
                <w:szCs w:val="20"/>
                <w:color w:val="auto"/>
              </w:rPr>
            </w:pPr>
            <w:r>
              <w:rPr>
                <w:rFonts w:ascii="Times New Roman" w:cs="Times New Roman" w:eastAsia="Times New Roman" w:hAnsi="Times New Roman"/>
                <w:sz w:val="22"/>
                <w:szCs w:val="22"/>
                <w:b w:val="1"/>
                <w:bCs w:val="1"/>
                <w:color w:val="auto"/>
                <w:w w:val="96"/>
              </w:rPr>
              <w:t>50 Northern Avenue</w:t>
            </w:r>
          </w:p>
        </w:tc>
        <w:tc>
          <w:tcPr>
            <w:tcW w:w="2660" w:type="dxa"/>
            <w:vAlign w:val="bottom"/>
          </w:tcPr>
          <w:p>
            <w:pPr>
              <w:spacing w:after="0"/>
              <w:rPr>
                <w:sz w:val="24"/>
                <w:szCs w:val="24"/>
                <w:color w:val="auto"/>
              </w:rPr>
            </w:pPr>
          </w:p>
        </w:tc>
      </w:tr>
      <w:tr>
        <w:trPr>
          <w:trHeight w:val="324"/>
        </w:trPr>
        <w:tc>
          <w:tcPr>
            <w:tcW w:w="3080" w:type="dxa"/>
            <w:vAlign w:val="bottom"/>
          </w:tcPr>
          <w:p>
            <w:pPr>
              <w:spacing w:after="0"/>
              <w:rPr>
                <w:sz w:val="24"/>
                <w:szCs w:val="24"/>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22"/>
                <w:szCs w:val="22"/>
                <w:b w:val="1"/>
                <w:bCs w:val="1"/>
                <w:color w:val="auto"/>
                <w:w w:val="98"/>
              </w:rPr>
              <w:t>Boston, Massachusetts 02210</w:t>
            </w:r>
          </w:p>
        </w:tc>
        <w:tc>
          <w:tcPr>
            <w:tcW w:w="2660" w:type="dxa"/>
            <w:vAlign w:val="bottom"/>
          </w:tcPr>
          <w:p>
            <w:pPr>
              <w:spacing w:after="0"/>
              <w:rPr>
                <w:sz w:val="24"/>
                <w:szCs w:val="24"/>
                <w:color w:val="auto"/>
              </w:rPr>
            </w:pPr>
          </w:p>
        </w:tc>
      </w:tr>
      <w:tr>
        <w:trPr>
          <w:trHeight w:val="225"/>
        </w:trPr>
        <w:tc>
          <w:tcPr>
            <w:tcW w:w="3080" w:type="dxa"/>
            <w:vAlign w:val="bottom"/>
          </w:tcPr>
          <w:p>
            <w:pPr>
              <w:spacing w:after="0"/>
              <w:rPr>
                <w:sz w:val="19"/>
                <w:szCs w:val="19"/>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tc>
        <w:tc>
          <w:tcPr>
            <w:tcW w:w="2660" w:type="dxa"/>
            <w:vAlign w:val="bottom"/>
          </w:tcPr>
          <w:p>
            <w:pPr>
              <w:spacing w:after="0"/>
              <w:rPr>
                <w:sz w:val="19"/>
                <w:szCs w:val="19"/>
                <w:color w:val="auto"/>
              </w:rPr>
            </w:pPr>
          </w:p>
        </w:tc>
      </w:tr>
      <w:tr>
        <w:trPr>
          <w:trHeight w:val="539"/>
        </w:trPr>
        <w:tc>
          <w:tcPr>
            <w:tcW w:w="3080" w:type="dxa"/>
            <w:vAlign w:val="bottom"/>
          </w:tcPr>
          <w:p>
            <w:pPr>
              <w:spacing w:after="0"/>
              <w:rPr>
                <w:sz w:val="24"/>
                <w:szCs w:val="24"/>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22"/>
                <w:szCs w:val="22"/>
                <w:b w:val="1"/>
                <w:bCs w:val="1"/>
                <w:color w:val="auto"/>
                <w:w w:val="98"/>
              </w:rPr>
              <w:t>(617) 341-6100</w:t>
            </w:r>
          </w:p>
        </w:tc>
        <w:tc>
          <w:tcPr>
            <w:tcW w:w="2660" w:type="dxa"/>
            <w:vAlign w:val="bottom"/>
          </w:tcPr>
          <w:p>
            <w:pPr>
              <w:spacing w:after="0"/>
              <w:rPr>
                <w:sz w:val="24"/>
                <w:szCs w:val="24"/>
                <w:color w:val="auto"/>
              </w:rPr>
            </w:pPr>
          </w:p>
        </w:tc>
      </w:tr>
      <w:tr>
        <w:trPr>
          <w:trHeight w:val="236"/>
        </w:trPr>
        <w:tc>
          <w:tcPr>
            <w:tcW w:w="3080" w:type="dxa"/>
            <w:vAlign w:val="bottom"/>
          </w:tcPr>
          <w:p>
            <w:pPr>
              <w:spacing w:after="0"/>
              <w:rPr>
                <w:sz w:val="20"/>
                <w:szCs w:val="20"/>
                <w:color w:val="auto"/>
              </w:rPr>
            </w:pPr>
          </w:p>
        </w:tc>
        <w:tc>
          <w:tcPr>
            <w:tcW w:w="4340" w:type="dxa"/>
            <w:vAlign w:val="bottom"/>
          </w:tcPr>
          <w:p>
            <w:pPr>
              <w:jc w:val="center"/>
              <w:ind w:right="22"/>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2660" w:type="dxa"/>
            <w:vAlign w:val="bottom"/>
          </w:tcPr>
          <w:p>
            <w:pPr>
              <w:spacing w:after="0"/>
              <w:rPr>
                <w:sz w:val="20"/>
                <w:szCs w:val="20"/>
                <w:color w:val="auto"/>
              </w:rPr>
            </w:pPr>
          </w:p>
        </w:tc>
      </w:tr>
    </w:tbl>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71" w:lineRule="exact"/>
        <w:rPr>
          <w:sz w:val="24"/>
          <w:szCs w:val="24"/>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240" w:hanging="19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56"/>
        </w:trPr>
        <w:tc>
          <w:tcPr>
            <w:tcW w:w="4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408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r>
      <w:tr>
        <w:trPr>
          <w:trHeight w:val="204"/>
        </w:trPr>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44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VRTX</w:t>
            </w:r>
          </w:p>
        </w:tc>
        <w:tc>
          <w:tcPr>
            <w:tcW w:w="460" w:type="dxa"/>
            <w:vAlign w:val="bottom"/>
          </w:tcPr>
          <w:p>
            <w:pPr>
              <w:spacing w:after="0"/>
              <w:rPr>
                <w:sz w:val="17"/>
                <w:szCs w:val="17"/>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40"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231F20"/>
        </w:rPr>
        <w:t xml:space="preserve">Emerging growth company </w:t>
      </w:r>
      <w:r>
        <w:rPr>
          <w:rFonts w:ascii="MS PGothic" w:cs="MS PGothic" w:eastAsia="MS PGothic" w:hAnsi="MS PGothic"/>
          <w:sz w:val="16"/>
          <w:szCs w:val="16"/>
          <w:color w:val="000000"/>
        </w:rPr>
        <w:t>☐</w:t>
      </w:r>
    </w:p>
    <w:p>
      <w:pPr>
        <w:spacing w:after="0" w:line="274"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8.01 Other Events.</w:t>
      </w:r>
    </w:p>
    <w:p>
      <w:pPr>
        <w:spacing w:after="0" w:line="314" w:lineRule="exact"/>
        <w:rPr>
          <w:sz w:val="20"/>
          <w:szCs w:val="20"/>
          <w:color w:val="auto"/>
        </w:rPr>
      </w:pPr>
    </w:p>
    <w:p>
      <w:pPr>
        <w:ind w:right="320" w:firstLine="648"/>
        <w:spacing w:after="0" w:line="255" w:lineRule="auto"/>
        <w:rPr>
          <w:sz w:val="20"/>
          <w:szCs w:val="20"/>
          <w:color w:val="auto"/>
        </w:rPr>
      </w:pPr>
      <w:r>
        <w:rPr>
          <w:rFonts w:ascii="Times New Roman" w:cs="Times New Roman" w:eastAsia="Times New Roman" w:hAnsi="Times New Roman"/>
          <w:sz w:val="19"/>
          <w:szCs w:val="19"/>
          <w:color w:val="auto"/>
        </w:rPr>
        <w:t>On May 19, 2022, Vertex Pharmaceuticals Incorporated (“Vertex”) and Catalyst Biosciences, Inc. (“Seller”) entered into and consummated an Asset Purchase Agreement, pursuant to which Vertex acquired Catalyst’s complement portfolio and related intellectual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property, </w:t>
      </w:r>
      <w:r>
        <w:rPr>
          <w:rFonts w:ascii="Times New Roman" w:cs="Times New Roman" w:eastAsia="Times New Roman" w:hAnsi="Times New Roman"/>
          <w:sz w:val="21"/>
          <w:szCs w:val="21"/>
          <w:color w:val="auto"/>
        </w:rPr>
        <w:t>including CB 2782-PEG (the “Transferred Assets”).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In consideration for the purchase of the Transferred Assets, Vertex will pay to Seller a total of $60 million in cash. Vertex expects to record the $60 million purchase price in GAAP and non-GAAP operating expenses in the second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9" w:right="47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41" w:lineRule="exact"/>
        <w:rPr>
          <w:sz w:val="20"/>
          <w:szCs w:val="20"/>
          <w:color w:val="auto"/>
        </w:rPr>
      </w:pPr>
    </w:p>
    <w:p>
      <w:pPr>
        <w:ind w:firstLine="648"/>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260" w:type="dxa"/>
            <w:vAlign w:val="bottom"/>
          </w:tcPr>
          <w:p>
            <w:pPr>
              <w:spacing w:after="0"/>
              <w:rPr>
                <w:sz w:val="22"/>
                <w:szCs w:val="22"/>
                <w:color w:val="auto"/>
              </w:rPr>
            </w:pPr>
          </w:p>
        </w:tc>
        <w:tc>
          <w:tcPr>
            <w:tcW w:w="6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VERTEX PHARMACEUTICALS INCORPORATED</w:t>
            </w:r>
          </w:p>
        </w:tc>
      </w:tr>
      <w:tr>
        <w:trPr>
          <w:trHeight w:val="258"/>
        </w:trPr>
        <w:tc>
          <w:tcPr>
            <w:tcW w:w="3260" w:type="dxa"/>
            <w:vAlign w:val="bottom"/>
          </w:tcPr>
          <w:p>
            <w:pPr>
              <w:spacing w:after="0"/>
              <w:rPr>
                <w:sz w:val="22"/>
                <w:szCs w:val="22"/>
                <w:color w:val="auto"/>
              </w:rPr>
            </w:pPr>
          </w:p>
        </w:tc>
        <w:tc>
          <w:tcPr>
            <w:tcW w:w="67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(Registrant)</w:t>
            </w:r>
          </w:p>
        </w:tc>
      </w:tr>
      <w:tr>
        <w:trPr>
          <w:trHeight w:val="53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Date: May 23, 2022</w:t>
            </w:r>
          </w:p>
        </w:tc>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Joy Liu</w:t>
            </w:r>
          </w:p>
        </w:tc>
      </w:tr>
      <w:tr>
        <w:trPr>
          <w:trHeight w:val="244"/>
        </w:trPr>
        <w:tc>
          <w:tcPr>
            <w:tcW w:w="326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Joy Liu</w:t>
            </w:r>
          </w:p>
        </w:tc>
      </w:tr>
      <w:tr>
        <w:trPr>
          <w:trHeight w:val="258"/>
        </w:trPr>
        <w:tc>
          <w:tcPr>
            <w:tcW w:w="3260" w:type="dxa"/>
            <w:vAlign w:val="bottom"/>
          </w:tcPr>
          <w:p>
            <w:pPr>
              <w:spacing w:after="0"/>
              <w:rPr>
                <w:sz w:val="22"/>
                <w:szCs w:val="22"/>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 General Counsel</w:t>
            </w:r>
          </w:p>
        </w:tc>
      </w:tr>
    </w:tbl>
    <w:p>
      <w:pPr>
        <w:spacing w:after="0" w:line="1" w:lineRule="exact"/>
        <w:rPr>
          <w:sz w:val="20"/>
          <w:szCs w:val="20"/>
          <w:color w:val="auto"/>
        </w:rPr>
      </w:pPr>
    </w:p>
    <w:sectPr>
      <w:pgSz w:w="11900" w:h="16838" w:orient="portrait"/>
      <w:cols w:equalWidth="0" w:num="1">
        <w:col w:w="10880"/>
      </w:cols>
      <w:pgMar w:left="320" w:top="1125"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2022-05-23T07:43:11Z</dcterms:created>
  <dcterms:modified xsi:type="dcterms:W3CDTF">2022-05-23T07:43:11Z</dcterms:modified>
</cp:coreProperties>
</file>